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07" w:rsidRPr="004D1307" w:rsidRDefault="004D1307" w:rsidP="004D1307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4D1307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0E9AD989" wp14:editId="1E72A331">
            <wp:extent cx="466725" cy="600075"/>
            <wp:effectExtent l="0" t="0" r="9525" b="9525"/>
            <wp:docPr id="1" name="Рисунок 5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3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</w:t>
      </w: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0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  СЕЛЬСКОГО  ПОСЕЛЕНИЯ</w:t>
      </w: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4D1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сессия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4D1307" w:rsidRPr="004D1307" w:rsidRDefault="004D1307" w:rsidP="004D13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07" w:rsidRPr="004D1307" w:rsidRDefault="004D1307" w:rsidP="004D1307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D130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23.06.2020</w:t>
      </w:r>
      <w:r w:rsidRPr="004D1307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Pr="004D1307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4D1307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226 -рс</w:t>
      </w:r>
      <w:r w:rsidRPr="004D130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</w:t>
      </w:r>
    </w:p>
    <w:p w:rsidR="004D1307" w:rsidRPr="004D1307" w:rsidRDefault="004D1307" w:rsidP="004D1307">
      <w:pPr>
        <w:tabs>
          <w:tab w:val="left" w:pos="480"/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Arial" w:eastAsia="Calibri" w:hAnsi="Arial" w:cs="Times New Roman"/>
          <w:b/>
          <w:kern w:val="32"/>
          <w:sz w:val="26"/>
          <w:szCs w:val="32"/>
          <w:lang w:val="x-none" w:eastAsia="x-none"/>
        </w:rPr>
      </w:pPr>
      <w:r w:rsidRPr="004D1307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4D1307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4D1307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4D1307">
        <w:rPr>
          <w:rFonts w:ascii="Arial" w:eastAsia="Calibri" w:hAnsi="Arial" w:cs="Times New Roman"/>
          <w:b/>
          <w:kern w:val="32"/>
          <w:sz w:val="26"/>
          <w:szCs w:val="32"/>
          <w:lang w:val="x-none" w:eastAsia="x-none"/>
        </w:rPr>
        <w:tab/>
      </w:r>
    </w:p>
    <w:p w:rsidR="004D1307" w:rsidRPr="004D1307" w:rsidRDefault="004D1307" w:rsidP="004D130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3"/>
      <w:bookmarkStart w:id="1" w:name="OLE_LINK242"/>
      <w:bookmarkStart w:id="2" w:name="OLE_LINK243"/>
      <w:bookmarkStart w:id="3" w:name="OLE_LINK126"/>
      <w:bookmarkStart w:id="4" w:name="OLE_LINK127"/>
      <w:bookmarkStart w:id="5" w:name="OLE_LINK128"/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 «О бюджетном процессе в сельском поселении Богородицкий сельсовет                                                                              Добринского муниципального района Липецкой области»</w:t>
      </w:r>
      <w:bookmarkEnd w:id="0"/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7" w:rsidRPr="004D1307" w:rsidRDefault="004D1307" w:rsidP="004D1307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 Протест Прокуратуры Добринского района  от 13.03.2020г.                       №27-2020 на Положение  «О бюджетном процессе в сельском поселении </w:t>
      </w:r>
      <w:bookmarkStart w:id="6" w:name="_Hlk37150555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bookmarkEnd w:id="6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области»,  руководствуясь  Бюджетным кодексом Российской Федерации», Уставом сельского поселения Богородицкий сельсовет, учитывая решения постоянных комиссий</w:t>
      </w:r>
      <w:r w:rsidRPr="004D13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 Богородицкий сельсовет   </w:t>
      </w:r>
      <w:r w:rsidRPr="004D13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:rsidR="004D1307" w:rsidRPr="004D1307" w:rsidRDefault="004D1307" w:rsidP="004D1307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bookmarkStart w:id="7" w:name="OLE_LINK114"/>
      <w:bookmarkStart w:id="8" w:name="OLE_LINK115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Положение  «О бюджетном процессе в сельском поселении </w:t>
      </w:r>
      <w:bookmarkStart w:id="9" w:name="_Hlk37151037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bookmarkEnd w:id="9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bookmarkEnd w:id="7"/>
      <w:bookmarkEnd w:id="8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OLE_LINK47"/>
      <w:bookmarkStart w:id="11" w:name="OLE_LINK48"/>
      <w:bookmarkStart w:id="12" w:name="OLE_LINK49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(принятое решением №50-рс от 20.12.2010г. </w:t>
      </w:r>
      <w:bookmarkEnd w:id="10"/>
      <w:bookmarkEnd w:id="11"/>
      <w:bookmarkEnd w:id="12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№149-рс от 15.05.2013г.,№163-рс от 13.09.2013г.,№184-рс от 20.02.2014г.,№221-рс от 24.11.2014г.,№254-рс от 28.10.2015.,№8-рс от 28.10.2015г,№41-рс от 15.07.2016г.,№105-рс  от 13.12.2017г.) (прилагается).</w:t>
      </w:r>
      <w:bookmarkStart w:id="13" w:name="OLE_LINK7"/>
      <w:bookmarkStart w:id="14" w:name="OLE_LINK8"/>
      <w:bookmarkStart w:id="15" w:name="OLE_LINK9"/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А.Г.Чубаров                                                           </w:t>
      </w:r>
    </w:p>
    <w:bookmarkEnd w:id="13"/>
    <w:bookmarkEnd w:id="14"/>
    <w:bookmarkEnd w:id="15"/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D1307" w:rsidRPr="004D1307" w:rsidRDefault="004D1307" w:rsidP="004D1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                                                         </w:t>
      </w:r>
    </w:p>
    <w:p w:rsidR="004D1307" w:rsidRPr="004D1307" w:rsidRDefault="004D1307" w:rsidP="004D1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4D1307" w:rsidRPr="004D1307" w:rsidRDefault="004D1307" w:rsidP="004D1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D1307" w:rsidRPr="004D1307" w:rsidRDefault="004D1307" w:rsidP="004D1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сельсовет</w:t>
      </w:r>
    </w:p>
    <w:p w:rsidR="004D1307" w:rsidRPr="004D1307" w:rsidRDefault="004D1307" w:rsidP="004D1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№226-рс  от 24.04.2020г.</w:t>
      </w:r>
    </w:p>
    <w:p w:rsidR="004D1307" w:rsidRPr="004D1307" w:rsidRDefault="004D1307" w:rsidP="004D130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7" w:rsidRPr="004D1307" w:rsidRDefault="004D1307" w:rsidP="004D130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</w:p>
    <w:p w:rsidR="004D1307" w:rsidRPr="004D1307" w:rsidRDefault="004D1307" w:rsidP="004D130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Положение  «О бюджетном процессе в сельском поселении </w:t>
      </w:r>
      <w:r w:rsidRPr="004D1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Добринского муниципального района Липецкой области» </w:t>
      </w:r>
    </w:p>
    <w:p w:rsidR="004D1307" w:rsidRPr="004D1307" w:rsidRDefault="004D1307" w:rsidP="004D130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OLE_LINK50"/>
      <w:bookmarkStart w:id="17" w:name="OLE_LINK51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бюджетном процессе сельского поселения Богородицкий сельсовет Добринского муниципального района Липецкой области (принятое решением №50-рс от 20.12.2010г. (</w:t>
      </w:r>
      <w:bookmarkStart w:id="18" w:name="OLE_LINK13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№149-рс от 15.05.2013г., №163-рс от 13.09.2013г.,№184-рс от 20.02.2014г.,№221-рс от 24.11.2014г.,№254-рс от 28.10.2015.,№8-рс от 28.10.2015г,№41-рс от 15.07.2016г.,№105-рс от 13.12.2017г.)  следующие изменения:</w:t>
      </w:r>
      <w:bookmarkEnd w:id="16"/>
      <w:bookmarkEnd w:id="17"/>
      <w:bookmarkEnd w:id="18"/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1. 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1</w:t>
      </w: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26. “Структура муниципального долга сельского поселения, виды и срочность  муниципальных долговых обязательств сельского поселения” п.2 изложить в следующей редакции: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“2. Долговые обязательства сельского поселения могут существовать в виде обязательств по: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ценным бумагам муниципального образования (муниципальным ценным бумагам);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 иным долговым обязательствам, возникшим до введения в действие настоящего Кодекса и отнесенным на муниципальный долг.”.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изложить в следующей редакции: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“3. В объем муниципального внутреннего долга сельского поселения включаются: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объем обязательств по муниципальным гарантиям, выраженным в валюте Российской Федерации;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объем иных непогашенных долговых обязательств муниципального образования в валюте Российской Федерации.”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1.2.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Дополнить пунктом 3.1. следующего содержания: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“ 3.1. В объем муниципального внешнего долга включаются: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кредитов.”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Статье 27. “Прекращение долговых обязательств сельского поселения, выраженных в валюте Российской Федерации, и их списание с муниципального долга сельского поселения” п. 1 изложить в следующей редакции: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“1.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Совета депутатов сельского поселения.”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изложить в следующей редакции: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“5.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Списание с муниципального долга сельского поселения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.”</w:t>
      </w:r>
    </w:p>
    <w:p w:rsidR="004D1307" w:rsidRPr="004D1307" w:rsidRDefault="004D1307" w:rsidP="004D1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OLE_LINK19"/>
      <w:bookmarkStart w:id="20" w:name="OLE_LINK20"/>
      <w:bookmarkStart w:id="21" w:name="OLE_LINK21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30. “Осуществление муниципальных заимствований”  изложить </w:t>
      </w:r>
      <w:bookmarkStart w:id="22" w:name="OLE_LINK28"/>
      <w:bookmarkStart w:id="23" w:name="OLE_LINK29"/>
      <w:bookmarkStart w:id="24" w:name="OLE_LINK30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bookmarkEnd w:id="22"/>
      <w:bookmarkEnd w:id="23"/>
      <w:bookmarkEnd w:id="24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9"/>
    <w:bookmarkEnd w:id="20"/>
    <w:bookmarkEnd w:id="21"/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“ 1.  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муниципального района в валюте Российской Федерации за пределами Российской Федерации не допускаются.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3.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4.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Муниципальное образование, отнесенное в соответствии со статьей 107.1 Бюджетного  Кодекса Российской Федерации к группе заемщиков со средним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муниципального образования, предусмотренных </w:t>
      </w:r>
      <w:hyperlink r:id="rId6" w:anchor="/document/12112604/entry/10715" w:history="1">
        <w:r w:rsidRPr="004D1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пунктом 5 статьи 107.1</w:t>
        </w:r>
      </w:hyperlink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Бюджетного  Кодекса Российской Федерации, до уровней, позволяющих отнести муниципальное образование к группе заемщиков с низким уровнем долговой устойчивости.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Муниципальное образование, отнесенное в соответствии со статьей 107.1 Бюджетного  Кодекса Российской Федерации к группе заемщиков с низким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муниципального образования, предусмотренных </w:t>
      </w:r>
      <w:hyperlink r:id="rId7" w:anchor="/document/12112604/entry/10715" w:history="1">
        <w:r w:rsidRPr="004D1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пунктом 5 статьи 107.1</w:t>
        </w:r>
      </w:hyperlink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Бюджетного  Кодекса Российской Федерации».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Статье 31. “Предельный объем муниципального долга сельского поселения” п.2  изложить в следующей редакции: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“ 2.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Муниципальное образование подлежит отнесению финансовым органом Липецкой области к одной из следующих групп заемщиков: с высоким </w:t>
      </w:r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уровнем долговой устойчивости, средним уровнем долговой устойчивости или низким уровнем долговой устойчивости.”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4.1.</w:t>
      </w:r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 5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“ 5. Отнесение муниципального образования к группам заемщиков, указанным в </w:t>
      </w:r>
      <w:hyperlink r:id="rId8" w:anchor="/document/12112604/entry/10712" w:history="1">
        <w:r w:rsidRPr="004D1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осуществляется следующим образом: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группе заемщиков с высоким уровнем долговой устойчивости относится муниципальное образование, имеющее значения показателей долговой устойчивости в следующих пределах: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50 процентов для показателя "Объем муниципального долга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лиц)" (для муниципального образования, в отношении которого осуществляются меры, предусмотренные </w:t>
      </w:r>
      <w:hyperlink r:id="rId9" w:anchor="/document/12112604/entry/1364" w:history="1">
        <w:r w:rsidRPr="004D1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 статьи 136</w:t>
        </w:r>
      </w:hyperlink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 Кодекса Российской Федерации, - не более 25 процентов);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13 процентов для показателя "Годовая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Федерации";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5 процентов для показателя "Доля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Федерации";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группе заемщиков с низким уровнем долговой устойчивости относится муниципальное образование, имеющее значения не менее двух показателей долговой устойчивости, превышающие следующие уровни: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- 85 процентов для показателя "Объем муниципального долга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лиц)" (для для муниципального образования, в отношении которого осуществляются меры, предусмотренные </w:t>
      </w:r>
      <w:hyperlink r:id="rId10" w:anchor="/document/12112604/entry/1364" w:history="1">
        <w:r w:rsidRPr="004D1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 статьи 136</w:t>
        </w:r>
      </w:hyperlink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 Кодекса Российской Федерации, - 45 процентов);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- 18 процентов для показателя "Годовая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Федерации";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процентов для показателя "Доля расходов на обслуживание муниципального долга в общем объеме расходов соответствующего бюджета,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объема расходов, которые осуществляются за счет субвенций, предоставляемых из бюджетов бюджетной системы Российской Федерации";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группе заемщиков со средним уровнем долговой устойчивости относится муниципальное образование, не отнесенное к группам заемщиков с высоким и низким уровнем долговой устойчивости.</w:t>
      </w:r>
    </w:p>
    <w:p w:rsidR="004D1307" w:rsidRPr="004D1307" w:rsidRDefault="004D1307" w:rsidP="004D13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32 “Программа муниципальных внутренних заимствований сельского поселения” изложить в следующей редакции:</w:t>
      </w:r>
    </w:p>
    <w:p w:rsidR="004D1307" w:rsidRPr="004D1307" w:rsidRDefault="004D1307" w:rsidP="004D1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“1.</w:t>
      </w: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Программой муниципальных внутренних заимствований определяются: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Муниципальное образование, отнесенное в соответствии со </w:t>
      </w:r>
      <w:hyperlink r:id="rId11" w:anchor="/document/12112604/entry/10710" w:history="1">
        <w:r w:rsidRPr="004D1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статьей 107.1</w:t>
        </w:r>
      </w:hyperlink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Бюджетного  Кодекса Российской Федерации к группе заемщиков со средним уровнем долговой устойчивости, вправе осуществлять муниципальные заимствования, предоставлять муниципальные гарантии только в случае согласования с финансовым органом Липецкой области  программ государственных внутренних и внешних заимствований, государственных гарантий Липецкой области на очередной финансовый год и плановый период (программ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изменений в указанные программы.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соответствующем бюджете на очередной финансовый год и плановый период (очередной финансовый год)”.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ст.46 «Порядок и сроки составления проекта бюджета» изложить в следующей  редакции:</w:t>
      </w:r>
    </w:p>
    <w:p w:rsidR="004D1307" w:rsidRPr="004D1307" w:rsidRDefault="004D1307" w:rsidP="004D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Проект бюджета сельского поселения составляется на основе прогноза социально – экономического развития в  целях финансового обеспечения расходных обязательств;</w:t>
      </w:r>
    </w:p>
    <w:p w:rsidR="004D1307" w:rsidRPr="004D1307" w:rsidRDefault="004D1307" w:rsidP="004D1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положениях послания Президента Российской Федерации Федеральному Собранию Российской Федерации, определяющих  политику (требования </w:t>
      </w:r>
      <w:r w:rsidRPr="004D1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 </w:t>
      </w:r>
      <w:r w:rsidRPr="004D130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бюджетной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политике) в Российской Федерации;</w:t>
      </w:r>
    </w:p>
    <w:p w:rsidR="004D1307" w:rsidRPr="004D1307" w:rsidRDefault="004D1307" w:rsidP="004D1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направлениях </w:t>
      </w:r>
      <w:r w:rsidRPr="004D130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бюджетной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налоговой и таможенно-тарифной политики Российской Федерации (основных направлениях </w:t>
      </w:r>
      <w:r w:rsidRPr="004D130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бюджетной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налоговой политики субъектов Российской Федерации, основных направлениях </w:t>
      </w:r>
      <w:r w:rsidRPr="004D130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бюджетной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налоговой политики муниципальных образований) ».</w:t>
      </w:r>
    </w:p>
    <w:p w:rsidR="004D1307" w:rsidRPr="004D1307" w:rsidRDefault="004D1307" w:rsidP="004D1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64. “Представление, рассмотрение и утверждение годового отчета об исполнении бюджета сельского поселения” п.2 изложить  в следующей редакции:</w:t>
      </w:r>
    </w:p>
    <w:p w:rsidR="004D1307" w:rsidRPr="004D1307" w:rsidRDefault="004D1307" w:rsidP="004D1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bookmarkStart w:id="25" w:name="OLE_LINK31"/>
      <w:bookmarkStart w:id="26" w:name="OLE_LINK32"/>
      <w:bookmarkStart w:id="27" w:name="OLE_LINK33"/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Одновременно с годовым отчетом об исполнении бюджета сельского поселения представляются:</w:t>
      </w:r>
    </w:p>
    <w:p w:rsidR="004D1307" w:rsidRPr="004D1307" w:rsidRDefault="004D1307" w:rsidP="004D1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- пояснительная записка к нему, содержащая анализ исполнения бюджета сельского поселения и </w:t>
      </w:r>
      <w:r w:rsidRPr="004D1307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shd w:val="clear" w:color="auto" w:fill="FFFFFF"/>
          <w:lang w:eastAsia="ru-RU"/>
        </w:rPr>
        <w:t>бюджетной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отчетности, и сведения о выполнении муниципального задания и (или) иных результатах использования </w:t>
      </w:r>
      <w:r w:rsidRPr="004D1307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shd w:val="clear" w:color="auto" w:fill="FFFFFF"/>
          <w:lang w:eastAsia="ru-RU"/>
        </w:rPr>
        <w:t>бюджетных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 ассигнований, </w:t>
      </w:r>
    </w:p>
    <w:p w:rsidR="004D1307" w:rsidRPr="004D1307" w:rsidRDefault="004D1307" w:rsidP="004D1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- проект решения об исполнении бюджета сельского поселения, иная </w:t>
      </w:r>
      <w:r w:rsidRPr="004D1307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shd w:val="clear" w:color="auto" w:fill="FFFFFF"/>
          <w:lang w:eastAsia="ru-RU"/>
        </w:rPr>
        <w:t>бюджетная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отчетность об исполнении соответствующего бюджета и </w:t>
      </w:r>
      <w:r w:rsidRPr="004D1307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shd w:val="clear" w:color="auto" w:fill="FFFFFF"/>
          <w:lang w:eastAsia="ru-RU"/>
        </w:rPr>
        <w:t>бюджетная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 отчетность об исполнении соответствующего консолидированного бюджета, 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использовании резервного фонда администрации сельского поселения;</w:t>
      </w:r>
    </w:p>
    <w:p w:rsidR="004D1307" w:rsidRPr="004D1307" w:rsidRDefault="004D1307" w:rsidP="004D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доклад о ходе реализации и оценки эффективности муниципальных программ сельского поселения,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иные документы, предусмотренные </w:t>
      </w:r>
      <w:r w:rsidRPr="004D1307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shd w:val="clear" w:color="auto" w:fill="FFFFFF"/>
          <w:lang w:eastAsia="ru-RU"/>
        </w:rPr>
        <w:t>бюджетным</w:t>
      </w:r>
      <w:r w:rsidRPr="004D13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законодательством Российской Федерации».</w:t>
      </w:r>
    </w:p>
    <w:p w:rsidR="004D1307" w:rsidRPr="004D1307" w:rsidRDefault="004D1307" w:rsidP="004D13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Ст.2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</w:t>
      </w: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с момента их официального обнародования.</w:t>
      </w:r>
    </w:p>
    <w:p w:rsidR="004D1307" w:rsidRPr="004D1307" w:rsidRDefault="004D1307" w:rsidP="004D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5"/>
    <w:bookmarkEnd w:id="26"/>
    <w:bookmarkEnd w:id="27"/>
    <w:p w:rsidR="004D1307" w:rsidRPr="004D1307" w:rsidRDefault="004D1307" w:rsidP="004D1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4D1307" w:rsidRPr="004D1307" w:rsidRDefault="004D1307" w:rsidP="004D1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</w:t>
      </w:r>
      <w:r w:rsidRPr="004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А.И. </w:t>
      </w:r>
      <w:bookmarkEnd w:id="1"/>
      <w:bookmarkEnd w:id="2"/>
      <w:bookmarkEnd w:id="3"/>
      <w:bookmarkEnd w:id="4"/>
      <w:bookmarkEnd w:id="5"/>
      <w:r w:rsidRPr="004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Овчинников</w:t>
      </w:r>
    </w:p>
    <w:p w:rsidR="004D1307" w:rsidRPr="004D1307" w:rsidRDefault="004D1307" w:rsidP="004D130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D1307" w:rsidRPr="004D1307" w:rsidRDefault="004D1307" w:rsidP="004D1307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1307" w:rsidRPr="004D1307" w:rsidRDefault="004D1307" w:rsidP="004D1307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3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4D1307" w:rsidRPr="004D1307" w:rsidRDefault="004D1307" w:rsidP="004D1307">
      <w:pPr>
        <w:tabs>
          <w:tab w:val="left" w:pos="0"/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6203E6" w:rsidRDefault="004D1307">
      <w:bookmarkStart w:id="28" w:name="_GoBack"/>
      <w:bookmarkEnd w:id="28"/>
    </w:p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4EA2"/>
    <w:multiLevelType w:val="hybridMultilevel"/>
    <w:tmpl w:val="BC6AC000"/>
    <w:lvl w:ilvl="0" w:tplc="4986F3FC">
      <w:start w:val="28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7"/>
    <w:rsid w:val="004D1307"/>
    <w:rsid w:val="0098703A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B13A-2F92-442F-9E1B-FC40024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14061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2020-06-26T18:56:00Z</dcterms:created>
  <dcterms:modified xsi:type="dcterms:W3CDTF">2020-06-26T18:56:00Z</dcterms:modified>
</cp:coreProperties>
</file>